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proofErr w:type="spellStart"/>
      <w:r w:rsidRPr="00B7680F">
        <w:rPr>
          <w:rFonts w:eastAsia="Times New Roman"/>
          <w:highlight w:val="cyan"/>
          <w:shd w:val="clear" w:color="auto" w:fill="ECF3F7"/>
        </w:rPr>
        <w:t>TuneECU</w:t>
      </w:r>
      <w:proofErr w:type="spellEnd"/>
      <w:r w:rsidRPr="00B7680F">
        <w:rPr>
          <w:rFonts w:eastAsia="Times New Roman"/>
          <w:highlight w:val="cyan"/>
          <w:shd w:val="clear" w:color="auto" w:fill="ECF3F7"/>
        </w:rPr>
        <w:t xml:space="preserve"> можно использовать для проверки и настройки TPS и ISC в три основных шага, к каждому из которых можно получить двойной щелчок «Настроить ISCV» Проверки могут быть проведены простым подключением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TuneECU</w:t>
      </w:r>
      <w:proofErr w:type="spellEnd"/>
      <w:r w:rsidRPr="00B7680F">
        <w:rPr>
          <w:rFonts w:eastAsia="Times New Roman"/>
          <w:highlight w:val="cyan"/>
          <w:shd w:val="clear" w:color="auto" w:fill="ECF3F7"/>
        </w:rPr>
        <w:t xml:space="preserve"> и считыванием выходных напряжений без снятия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резервуара,аэробокс</w:t>
      </w:r>
      <w:proofErr w:type="spellEnd"/>
      <w:r w:rsidRPr="00B7680F">
        <w:rPr>
          <w:rFonts w:eastAsia="Times New Roman"/>
          <w:highlight w:val="cyan"/>
          <w:shd w:val="clear" w:color="auto" w:fill="ECF3F7"/>
        </w:rPr>
        <w:t xml:space="preserve"> и т.д. Просто убедитесь, что тросы дроссельной заслонки имеют достаточную слабину, чтобы они не мешали дроссельным заслонкам, движущимся к полностью закрытая позиция. Я проверил свой, когда вся область была открыта и тросы дроссельной заслонки отсоединены для других.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Содержание.  в свою очередь: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Переместите дроссельные заслонки в полностью закрытое положение и проверьте напряжение TPS. При необходимости отрегулируйте положение TPS.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Приведите шаговый двигатель к полному открытию и проверьте напряжение TPS. При необходимости отрегулируйте шаговый кронштейн/рычаг.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Сброс адаптации. Это сбрасывает значения адаптации к их начальной точке. Двигатель должен быть запущен, чтобы «изучить» новую адаптацию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Значения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Первым шагом является: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 xml:space="preserve">получение базового напряжения TPS путем приведения дроссельных заслонок в полностью закрытое положение. С подключенным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TuneECU</w:t>
      </w:r>
      <w:proofErr w:type="spellEnd"/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к велосипеду и включенному зажиганию (но двигатель не работает) перейдите на страницу «Тесты» и дважды щелкните «Настроить ISCV»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 xml:space="preserve">Подтвердите запрос "Настроить ISCV?". Циферблат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Cyl</w:t>
      </w:r>
      <w:proofErr w:type="spellEnd"/>
      <w:r w:rsidRPr="00B7680F">
        <w:rPr>
          <w:rFonts w:eastAsia="Times New Roman"/>
          <w:highlight w:val="cyan"/>
          <w:shd w:val="clear" w:color="auto" w:fill="ECF3F7"/>
        </w:rPr>
        <w:t xml:space="preserve"> 3 MP изменится на индикатор напряжения TPS.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TuneECU</w:t>
      </w:r>
      <w:proofErr w:type="spellEnd"/>
      <w:r w:rsidRPr="00B7680F">
        <w:rPr>
          <w:rFonts w:eastAsia="Times New Roman"/>
          <w:highlight w:val="cyan"/>
          <w:shd w:val="clear" w:color="auto" w:fill="ECF3F7"/>
        </w:rPr>
        <w:t xml:space="preserve"> отправит, чтобы переместить дроссельные заслонки в полностью закрытое положение. Если эти проверки выполняются из-за нового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степпера</w:t>
      </w:r>
      <w:proofErr w:type="spellEnd"/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двигатель был установлен для проверки зазора между рычагом управления скоростью холостого хода и роликом на кулачке дроссельной заслонки.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Зазор должен быть 0,5 мм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Шаг второй: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 xml:space="preserve">Когда винты слегка ослабли, TPS перемещается до тех пор, пока на дисплее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TuneECU</w:t>
      </w:r>
      <w:proofErr w:type="spellEnd"/>
      <w:r w:rsidRPr="00B7680F">
        <w:rPr>
          <w:rFonts w:eastAsia="Times New Roman"/>
          <w:highlight w:val="cyan"/>
          <w:shd w:val="clear" w:color="auto" w:fill="ECF3F7"/>
        </w:rPr>
        <w:t xml:space="preserve"> не будет показана требуемая 0,60 В.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The</w:t>
      </w:r>
      <w:proofErr w:type="spellEnd"/>
      <w:r w:rsidRPr="00B7680F">
        <w:rPr>
          <w:rFonts w:eastAsia="Times New Roman"/>
          <w:highlight w:val="cyan"/>
          <w:shd w:val="clear" w:color="auto" w:fill="ECF3F7"/>
        </w:rPr>
        <w:t xml:space="preserve"> TPS очень чувствителен к движению, поэтому проверьте напряжение еще раз после повторного затягивания винтов. Избегайте чрезмерного затягивания винтов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 xml:space="preserve">— указанный крутящий момент составляет всего 3,5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Нм</w:t>
      </w:r>
      <w:proofErr w:type="spellEnd"/>
      <w:r w:rsidRPr="00B7680F">
        <w:rPr>
          <w:rFonts w:eastAsia="Times New Roman"/>
          <w:highlight w:val="cyan"/>
          <w:shd w:val="clear" w:color="auto" w:fill="ECF3F7"/>
        </w:rPr>
        <w:t>, поэтому будьте осторожны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 xml:space="preserve">Третий шаг: 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 xml:space="preserve">© 2009‐2014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Tom_Hamburg</w:t>
      </w:r>
      <w:proofErr w:type="spellEnd"/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 xml:space="preserve">Если все в порядке, дважды нажмите «Настроить ISCV» еще раз.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TuneECU</w:t>
      </w:r>
      <w:proofErr w:type="spellEnd"/>
      <w:r w:rsidRPr="00B7680F">
        <w:rPr>
          <w:rFonts w:eastAsia="Times New Roman"/>
          <w:highlight w:val="cyan"/>
          <w:shd w:val="clear" w:color="auto" w:fill="ECF3F7"/>
        </w:rPr>
        <w:t xml:space="preserve"> отправит команду на привод шагового двигателя на полностью открытый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позиция. Напряжение TPS теперь должно быть прежним считыванием плюс 0,15 В. На моем скриншоте предыдущее чтение было 0.60V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lastRenderedPageBreak/>
        <w:t>так что теперь я искал показания 0,75 В. Допускается допуск +/‐ 0,05 В, поэтому диапазон напряжения 0,70 В – 0,80 В составляет Хорошо.  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Если требуется регулировка, переместите гайку регулятора, чтобы установить положение шагового рычага/рычага управления скоростью холостого хода. Будьте в курсе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что это изменит зазор между рычагом управления скоростью холостого хода и роликом на кулачке дроссельной заслонки, который был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измерено ранее. . Зазор 0,5 мм должен соответствовать показаниям TPS 0,75 В. Если они не соответствуют, то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должно быть принято решение установить одно или другое. Этот параметр повлияет на положение дроссельной заслонки при запуске двигателя, поэтому, если вы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Опыт запуска проблем с установкой 0,75 В, затем я бы предложил вернуться назад и настроить шаговый рычаг на правильный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очистка.  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Когда все правильные цифры достигнуты, дважды нажмите «Настроить ISCV» еще раз. Это автоматически запустит «Сброс»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Адаптация» – тот же процесс, который требуется после загрузки новой мелодии в ЭБУ. Это не относится к новой адаптации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ценности; он просто сбрасывает их к исходной точке. Чтобы «выучить» новые значения адаптации, необходимо запустить двигатель для установления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настройки положения дроссельной заслонки и топливных дифферентов для достижения правильного регулирования скорости холостого хода.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0,6 В, которое мы устанавливаем, является только закрытым опорным напряжением дроссельной заслонки - вы можете не увидеть это показание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при нормальной эксплуатации. Не путайте термин «дроссельная заслонка закрыта» с нашим нормальным пониманием закрытой рукоятки дроссельной заслонки.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 xml:space="preserve">Когда рукоятка дроссельной заслонки закрыта, дроссельные заслонки все еще немного открыты для поддержания холостого хода. На моем 1050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Sprint</w:t>
      </w:r>
      <w:proofErr w:type="spellEnd"/>
      <w:r w:rsidRPr="00B7680F">
        <w:rPr>
          <w:rFonts w:eastAsia="Times New Roman"/>
          <w:highlight w:val="cyan"/>
          <w:shd w:val="clear" w:color="auto" w:fill="ECF3F7"/>
        </w:rPr>
        <w:t xml:space="preserve"> TPS напряжение в диапазоне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от базового напряжения 0,60 В до 4,11 В с широко открытой дроссельной заслонкой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При небольших отверстиях дроссельной заслонки заправка определяется оборотами в минуту и MAP (абсолютное давление коллектора). Дроссельная заслонка выше 6%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система подает топливо на основе нагрузки на двигатель (измеряемой оборотами в минуту и положением дроссельной заслонки), поэтому, очевидно, важно, чтобы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>Показания TPS верны. Правильная настройка TPS - это физический процесс - если показания напряжения TPS неправильные, TPS должен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highlight w:val="cyan"/>
          <w:shd w:val="clear" w:color="auto" w:fill="ECF3F7"/>
        </w:rPr>
        <w:t xml:space="preserve">быть перемещенным. Очевидно, что в системе есть некоторая широта, потому что при более высоких отверстиях дроссельной заслонки (более 40%) карты для </w:t>
      </w:r>
      <w:proofErr w:type="spellStart"/>
      <w:r w:rsidRPr="00B7680F">
        <w:rPr>
          <w:rFonts w:eastAsia="Times New Roman"/>
          <w:highlight w:val="cyan"/>
          <w:shd w:val="clear" w:color="auto" w:fill="ECF3F7"/>
        </w:rPr>
        <w:t>моихСпринт</w:t>
      </w:r>
      <w:proofErr w:type="spellEnd"/>
      <w:r w:rsidRPr="00B7680F">
        <w:rPr>
          <w:rFonts w:eastAsia="Times New Roman"/>
          <w:highlight w:val="cyan"/>
          <w:shd w:val="clear" w:color="auto" w:fill="ECF3F7"/>
        </w:rPr>
        <w:t xml:space="preserve"> </w:t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  <w:r w:rsidRPr="00B7680F">
        <w:rPr>
          <w:rFonts w:eastAsia="Times New Roman"/>
          <w:noProof/>
          <w:highlight w:val="cyan"/>
        </w:rPr>
        <w:lastRenderedPageBreak/>
        <w:drawing>
          <wp:anchor distT="0" distB="0" distL="114300" distR="114300" simplePos="0" relativeHeight="251659264" behindDoc="0" locked="0" layoutInCell="1" allowOverlap="1" wp14:anchorId="5FAC068A" wp14:editId="6583C2B5">
            <wp:simplePos x="0" y="0"/>
            <wp:positionH relativeFrom="column">
              <wp:posOffset>91440</wp:posOffset>
            </wp:positionH>
            <wp:positionV relativeFrom="paragraph">
              <wp:posOffset>0</wp:posOffset>
            </wp:positionV>
            <wp:extent cx="4848225" cy="9251950"/>
            <wp:effectExtent l="0" t="0" r="9525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</w:p>
    <w:p w:rsidR="00B7680F" w:rsidRPr="00B7680F" w:rsidRDefault="00B7680F" w:rsidP="00B7680F">
      <w:pPr>
        <w:rPr>
          <w:rFonts w:eastAsia="Times New Roman"/>
          <w:highlight w:val="cyan"/>
          <w:shd w:val="clear" w:color="auto" w:fill="ECF3F7"/>
        </w:rPr>
      </w:pPr>
    </w:p>
    <w:p w:rsidR="00B7680F" w:rsidRPr="00B7680F" w:rsidRDefault="00B7680F" w:rsidP="00B7680F">
      <w:pPr>
        <w:rPr>
          <w:rFonts w:ascii="Arial" w:eastAsia="Times New Roman" w:hAnsi="Arial" w:cs="Arial"/>
          <w:color w:val="2D2E2E"/>
          <w:highlight w:val="cyan"/>
        </w:rPr>
      </w:pPr>
      <w:r w:rsidRPr="00B7680F">
        <w:rPr>
          <w:rFonts w:ascii="Arial" w:eastAsia="Times New Roman" w:hAnsi="Arial" w:cs="Arial"/>
          <w:color w:val="2D2E2E"/>
          <w:highlight w:val="cyan"/>
          <w:u w:val="single"/>
          <w:bdr w:val="none" w:sz="0" w:space="0" w:color="auto" w:frame="1"/>
        </w:rPr>
        <w:t>Адаптация сброса, </w:t>
      </w:r>
      <w:r w:rsidRPr="00B7680F">
        <w:rPr>
          <w:rFonts w:ascii="Arial" w:eastAsia="Times New Roman" w:hAnsi="Arial" w:cs="Arial"/>
          <w:b/>
          <w:bCs/>
          <w:color w:val="2D2E2E"/>
          <w:sz w:val="24"/>
          <w:szCs w:val="24"/>
          <w:highlight w:val="cyan"/>
          <w:u w:val="single"/>
          <w:bdr w:val="none" w:sz="0" w:space="0" w:color="auto" w:frame="1"/>
        </w:rPr>
        <w:t>до версии 1.9.6, Сброс TPS</w:t>
      </w:r>
      <w:r w:rsidRPr="00B7680F">
        <w:rPr>
          <w:rFonts w:ascii="Arial" w:eastAsia="Times New Roman" w:hAnsi="Arial" w:cs="Arial"/>
          <w:color w:val="2D2E2E"/>
          <w:highlight w:val="cyan"/>
          <w:u w:val="single"/>
          <w:bdr w:val="none" w:sz="0" w:space="0" w:color="auto" w:frame="1"/>
        </w:rPr>
        <w:t xml:space="preserve"> (только </w:t>
      </w:r>
      <w:proofErr w:type="spellStart"/>
      <w:r w:rsidRPr="00B7680F">
        <w:rPr>
          <w:rFonts w:ascii="Arial" w:eastAsia="Times New Roman" w:hAnsi="Arial" w:cs="Arial"/>
          <w:color w:val="2D2E2E"/>
          <w:highlight w:val="cyan"/>
          <w:u w:val="single"/>
          <w:bdr w:val="none" w:sz="0" w:space="0" w:color="auto" w:frame="1"/>
        </w:rPr>
        <w:t>Keihin</w:t>
      </w:r>
      <w:proofErr w:type="spellEnd"/>
      <w:r w:rsidRPr="00B7680F">
        <w:rPr>
          <w:rFonts w:ascii="Arial" w:eastAsia="Times New Roman" w:hAnsi="Arial" w:cs="Arial"/>
          <w:color w:val="2D2E2E"/>
          <w:highlight w:val="cyan"/>
          <w:u w:val="single"/>
          <w:bdr w:val="none" w:sz="0" w:space="0" w:color="auto" w:frame="1"/>
        </w:rPr>
        <w:t xml:space="preserve"> ECU), только </w:t>
      </w:r>
      <w:proofErr w:type="spellStart"/>
      <w:r w:rsidRPr="00B7680F">
        <w:rPr>
          <w:rFonts w:ascii="Arial" w:eastAsia="Times New Roman" w:hAnsi="Arial" w:cs="Arial"/>
          <w:color w:val="2D2E2E"/>
          <w:highlight w:val="cyan"/>
          <w:u w:val="single"/>
          <w:bdr w:val="none" w:sz="0" w:space="0" w:color="auto" w:frame="1"/>
        </w:rPr>
        <w:t>Triumph</w:t>
      </w:r>
      <w:proofErr w:type="spellEnd"/>
      <w:r w:rsidRPr="00B7680F">
        <w:rPr>
          <w:rFonts w:ascii="Arial" w:eastAsia="Times New Roman" w:hAnsi="Arial" w:cs="Arial"/>
          <w:color w:val="CC0000"/>
          <w:highlight w:val="cyan"/>
          <w:u w:val="single"/>
          <w:bdr w:val="none" w:sz="0" w:space="0" w:color="auto" w:frame="1"/>
        </w:rPr>
        <w:br/>
      </w:r>
    </w:p>
    <w:p w:rsidR="00B7680F" w:rsidRPr="00B7680F" w:rsidRDefault="00B7680F" w:rsidP="00B7680F">
      <w:pPr>
        <w:rPr>
          <w:rFonts w:ascii="Arial" w:eastAsia="Times New Roman" w:hAnsi="Arial" w:cs="Arial"/>
          <w:color w:val="2D2E2E"/>
          <w:highlight w:val="cyan"/>
        </w:rPr>
      </w:pPr>
      <w:r w:rsidRPr="00B7680F">
        <w:rPr>
          <w:rFonts w:ascii="Arial" w:eastAsia="Times New Roman" w:hAnsi="Arial" w:cs="Arial"/>
          <w:color w:val="2D2E2E"/>
          <w:highlight w:val="cyan"/>
          <w:u w:val="single"/>
          <w:bdr w:val="none" w:sz="0" w:space="0" w:color="auto" w:frame="1"/>
        </w:rPr>
        <w:t>Эти опции </w:t>
      </w:r>
      <w:r w:rsidRPr="00B7680F">
        <w:rPr>
          <w:rFonts w:ascii="Arial" w:eastAsia="Times New Roman" w:hAnsi="Arial" w:cs="Arial"/>
          <w:color w:val="CC0000"/>
          <w:highlight w:val="cyan"/>
          <w:u w:val="single"/>
          <w:bdr w:val="none" w:sz="0" w:space="0" w:color="auto" w:frame="1"/>
        </w:rPr>
        <w:t>неприменимы</w:t>
      </w:r>
      <w:r w:rsidRPr="00B7680F">
        <w:rPr>
          <w:rFonts w:ascii="Arial" w:eastAsia="Times New Roman" w:hAnsi="Arial" w:cs="Arial"/>
          <w:color w:val="2D2E2E"/>
          <w:highlight w:val="cyan"/>
          <w:u w:val="single"/>
          <w:bdr w:val="none" w:sz="0" w:space="0" w:color="auto" w:frame="1"/>
        </w:rPr>
        <w:t> к моделям </w:t>
      </w:r>
      <w:proofErr w:type="spellStart"/>
      <w:r w:rsidRPr="00B7680F">
        <w:rPr>
          <w:rFonts w:ascii="Arial" w:eastAsia="Times New Roman" w:hAnsi="Arial" w:cs="Arial"/>
          <w:color w:val="CC0000"/>
          <w:highlight w:val="cyan"/>
          <w:u w:val="single"/>
          <w:bdr w:val="none" w:sz="0" w:space="0" w:color="auto" w:frame="1"/>
        </w:rPr>
        <w:t>Sagem</w:t>
      </w:r>
      <w:proofErr w:type="spellEnd"/>
      <w:r w:rsidRPr="00B7680F">
        <w:rPr>
          <w:rFonts w:ascii="Arial" w:eastAsia="Times New Roman" w:hAnsi="Arial" w:cs="Arial"/>
          <w:color w:val="2D2E2E"/>
          <w:highlight w:val="cyan"/>
          <w:u w:val="single"/>
          <w:bdr w:val="none" w:sz="0" w:space="0" w:color="auto" w:frame="1"/>
        </w:rPr>
        <w:t>.</w:t>
      </w:r>
    </w:p>
    <w:p w:rsidR="00B7680F" w:rsidRPr="00B7680F" w:rsidRDefault="00B7680F" w:rsidP="00B7680F">
      <w:pPr>
        <w:rPr>
          <w:rFonts w:ascii="Times New Roman" w:eastAsia="Times New Roman" w:hAnsi="Times New Roman" w:cs="Times New Roman"/>
          <w:highlight w:val="cyan"/>
        </w:rPr>
      </w:pPr>
      <w:r w:rsidRPr="00B7680F">
        <w:rPr>
          <w:rFonts w:ascii="Arial" w:eastAsia="Times New Roman" w:hAnsi="Arial" w:cs="Arial"/>
          <w:color w:val="2D2E2E"/>
          <w:highlight w:val="cyan"/>
          <w:bdr w:val="none" w:sz="0" w:space="0" w:color="auto" w:frame="1"/>
          <w:shd w:val="clear" w:color="auto" w:fill="FFFFFF"/>
        </w:rPr>
        <w:t>Процесс будет запущен в окне тестирования (Сброс адаптации).</w:t>
      </w:r>
      <w:r w:rsidRPr="00B7680F">
        <w:rPr>
          <w:rFonts w:ascii="Arial" w:eastAsia="Times New Roman" w:hAnsi="Arial" w:cs="Arial"/>
          <w:color w:val="2D2E2E"/>
          <w:highlight w:val="cyan"/>
        </w:rPr>
        <w:br/>
      </w:r>
      <w:r w:rsidRPr="00B7680F">
        <w:rPr>
          <w:rFonts w:ascii="Arial" w:eastAsia="Times New Roman" w:hAnsi="Arial" w:cs="Arial"/>
          <w:b/>
          <w:bCs/>
          <w:color w:val="2D2E2E"/>
          <w:sz w:val="24"/>
          <w:szCs w:val="24"/>
          <w:highlight w:val="cyan"/>
          <w:bdr w:val="none" w:sz="0" w:space="0" w:color="auto" w:frame="1"/>
        </w:rPr>
        <w:t>&lt;Меню&gt; ECU--- Адаптация сброса</w:t>
      </w:r>
    </w:p>
    <w:p w:rsidR="00B7680F" w:rsidRPr="00B7680F" w:rsidRDefault="00B7680F" w:rsidP="00B7680F">
      <w:pPr>
        <w:rPr>
          <w:rFonts w:ascii="Times New Roman" w:eastAsia="Times New Roman" w:hAnsi="Times New Roman" w:cs="Times New Roman"/>
          <w:highlight w:val="cyan"/>
        </w:rPr>
      </w:pPr>
      <w:r w:rsidRPr="00B7680F">
        <w:rPr>
          <w:rFonts w:ascii="Arial" w:eastAsia="Times New Roman" w:hAnsi="Arial" w:cs="Arial"/>
          <w:color w:val="2D2E2E"/>
          <w:highlight w:val="cyan"/>
          <w:shd w:val="clear" w:color="auto" w:fill="FFFFFF"/>
        </w:rPr>
        <w:t>После каждой загрузки необходим сброс адаптации.</w:t>
      </w:r>
    </w:p>
    <w:p w:rsidR="00B7680F" w:rsidRPr="00B7680F" w:rsidRDefault="00B7680F" w:rsidP="00B7680F">
      <w:pPr>
        <w:rPr>
          <w:rFonts w:ascii="Times New Roman" w:eastAsia="Times New Roman" w:hAnsi="Times New Roman" w:cs="Times New Roman"/>
          <w:highlight w:val="cyan"/>
        </w:rPr>
      </w:pPr>
      <w:r w:rsidRPr="00B7680F">
        <w:rPr>
          <w:rFonts w:ascii="Arial" w:eastAsia="Times New Roman" w:hAnsi="Arial" w:cs="Arial"/>
          <w:color w:val="2D2E2E"/>
          <w:highlight w:val="cyan"/>
        </w:rPr>
        <w:t>Выключите зажигание и снова включите его.</w:t>
      </w:r>
    </w:p>
    <w:p w:rsidR="00B7680F" w:rsidRPr="00B7680F" w:rsidRDefault="00B7680F" w:rsidP="00B7680F">
      <w:pPr>
        <w:rPr>
          <w:rFonts w:ascii="Arial" w:eastAsia="Times New Roman" w:hAnsi="Arial" w:cs="Arial"/>
          <w:color w:val="2D2E2E"/>
          <w:highlight w:val="cyan"/>
        </w:rPr>
      </w:pPr>
      <w:r w:rsidRPr="00B7680F">
        <w:rPr>
          <w:rFonts w:ascii="Arial" w:eastAsia="Times New Roman" w:hAnsi="Arial" w:cs="Arial"/>
          <w:color w:val="2D2E2E"/>
          <w:highlight w:val="cyan"/>
        </w:rPr>
        <w:t>Подождите 10 секунд и снова выключите зажигание.</w:t>
      </w:r>
    </w:p>
    <w:p w:rsidR="00B7680F" w:rsidRPr="00B7680F" w:rsidRDefault="00B7680F" w:rsidP="00B7680F">
      <w:pPr>
        <w:rPr>
          <w:rFonts w:ascii="Arial" w:eastAsia="Times New Roman" w:hAnsi="Arial" w:cs="Arial"/>
          <w:color w:val="2D2E2E"/>
          <w:highlight w:val="cyan"/>
        </w:rPr>
      </w:pPr>
      <w:r w:rsidRPr="00B7680F">
        <w:rPr>
          <w:rFonts w:ascii="Arial" w:eastAsia="Times New Roman" w:hAnsi="Arial" w:cs="Arial"/>
          <w:b/>
          <w:bCs/>
          <w:color w:val="2D2E2E"/>
          <w:sz w:val="24"/>
          <w:szCs w:val="24"/>
          <w:highlight w:val="cyan"/>
          <w:bdr w:val="none" w:sz="0" w:space="0" w:color="auto" w:frame="1"/>
        </w:rPr>
        <w:t>Дождитесь</w:t>
      </w:r>
      <w:r w:rsidRPr="00B7680F">
        <w:rPr>
          <w:rFonts w:ascii="Arial" w:eastAsia="Times New Roman" w:hAnsi="Arial" w:cs="Arial"/>
          <w:color w:val="2D2E2E"/>
          <w:highlight w:val="cyan"/>
          <w:bdr w:val="none" w:sz="0" w:space="0" w:color="auto" w:frame="1"/>
        </w:rPr>
        <w:t> </w:t>
      </w:r>
      <w:r w:rsidRPr="00B7680F">
        <w:rPr>
          <w:rFonts w:ascii="Arial" w:eastAsia="Times New Roman" w:hAnsi="Arial" w:cs="Arial"/>
          <w:b/>
          <w:bCs/>
          <w:color w:val="2D2E2E"/>
          <w:sz w:val="24"/>
          <w:szCs w:val="24"/>
          <w:highlight w:val="cyan"/>
          <w:bdr w:val="none" w:sz="0" w:space="0" w:color="auto" w:frame="1"/>
        </w:rPr>
        <w:t xml:space="preserve">автоматического подключения </w:t>
      </w:r>
      <w:proofErr w:type="spellStart"/>
      <w:r w:rsidRPr="00B7680F">
        <w:rPr>
          <w:rFonts w:ascii="Arial" w:eastAsia="Times New Roman" w:hAnsi="Arial" w:cs="Arial"/>
          <w:b/>
          <w:bCs/>
          <w:color w:val="2D2E2E"/>
          <w:sz w:val="24"/>
          <w:szCs w:val="24"/>
          <w:highlight w:val="cyan"/>
          <w:bdr w:val="none" w:sz="0" w:space="0" w:color="auto" w:frame="1"/>
        </w:rPr>
        <w:t>TuneECU</w:t>
      </w:r>
      <w:proofErr w:type="spellEnd"/>
      <w:r w:rsidRPr="00B7680F">
        <w:rPr>
          <w:rFonts w:ascii="Arial" w:eastAsia="Times New Roman" w:hAnsi="Arial" w:cs="Arial"/>
          <w:color w:val="2D2E2E"/>
          <w:highlight w:val="cyan"/>
          <w:bdr w:val="none" w:sz="0" w:space="0" w:color="auto" w:frame="1"/>
        </w:rPr>
        <w:t> </w:t>
      </w:r>
      <w:r w:rsidRPr="00B7680F">
        <w:rPr>
          <w:rFonts w:ascii="Arial" w:eastAsia="Times New Roman" w:hAnsi="Arial" w:cs="Arial"/>
          <w:color w:val="2D2E2E"/>
          <w:highlight w:val="cyan"/>
        </w:rPr>
        <w:t>и выберите</w:t>
      </w:r>
      <w:r w:rsidRPr="00B7680F">
        <w:rPr>
          <w:rFonts w:ascii="Arial" w:eastAsia="Times New Roman" w:hAnsi="Arial" w:cs="Arial"/>
          <w:color w:val="2D2E2E"/>
          <w:highlight w:val="cyan"/>
        </w:rPr>
        <w:br/>
        <w:t>в меню ЭБУ пункт Сброс адаптации.</w:t>
      </w:r>
    </w:p>
    <w:p w:rsidR="00B7680F" w:rsidRPr="00B7680F" w:rsidRDefault="00B7680F" w:rsidP="00B7680F">
      <w:pPr>
        <w:rPr>
          <w:rFonts w:ascii="Arial" w:eastAsia="Times New Roman" w:hAnsi="Arial" w:cs="Arial"/>
          <w:color w:val="2D2E2E"/>
          <w:highlight w:val="cyan"/>
        </w:rPr>
      </w:pPr>
      <w:r w:rsidRPr="00B7680F">
        <w:rPr>
          <w:rFonts w:ascii="Arial" w:eastAsia="Times New Roman" w:hAnsi="Arial" w:cs="Arial"/>
          <w:color w:val="2D2E2E"/>
          <w:highlight w:val="cyan"/>
        </w:rPr>
        <w:t>Запустите двигатель и дайте ему поработать на холостом ходу до тех пор, пока индикатор TPS в строке состояния не станет зеленым – около 15-20</w:t>
      </w:r>
      <w:r w:rsidRPr="00B7680F">
        <w:rPr>
          <w:rFonts w:ascii="Arial" w:eastAsia="Times New Roman" w:hAnsi="Arial" w:cs="Arial"/>
          <w:color w:val="2D2E2E"/>
          <w:highlight w:val="cyan"/>
        </w:rPr>
        <w:br/>
        <w:t>минут, при этом </w:t>
      </w:r>
      <w:r w:rsidRPr="00B7680F">
        <w:rPr>
          <w:rFonts w:ascii="Arial" w:eastAsia="Times New Roman" w:hAnsi="Arial" w:cs="Arial"/>
          <w:color w:val="2D2E2E"/>
          <w:highlight w:val="cyan"/>
          <w:bdr w:val="none" w:sz="0" w:space="0" w:color="auto" w:frame="1"/>
        </w:rPr>
        <w:t>не</w:t>
      </w:r>
      <w:r w:rsidRPr="00B7680F">
        <w:rPr>
          <w:rFonts w:ascii="Arial" w:eastAsia="Times New Roman" w:hAnsi="Arial" w:cs="Arial"/>
          <w:color w:val="2D2E2E"/>
          <w:highlight w:val="cyan"/>
        </w:rPr>
        <w:t> прикасайтесь к дроссельной заслонке. Если через двадцать минут индикатор TPS не загорится зеленым,</w:t>
      </w:r>
      <w:r w:rsidRPr="00B7680F">
        <w:rPr>
          <w:rFonts w:ascii="Arial" w:eastAsia="Times New Roman" w:hAnsi="Arial" w:cs="Arial"/>
          <w:color w:val="2D2E2E"/>
          <w:highlight w:val="cyan"/>
        </w:rPr>
        <w:br/>
        <w:t>не волнуйтесь и все равно выключите двигатель, так как иногда он не срабатывает, и, по нашему опыту</w:t>
      </w:r>
      <w:r w:rsidRPr="00B7680F">
        <w:rPr>
          <w:rFonts w:ascii="Arial" w:eastAsia="Times New Roman" w:hAnsi="Arial" w:cs="Arial"/>
          <w:color w:val="2D2E2E"/>
          <w:highlight w:val="cyan"/>
        </w:rPr>
        <w:br/>
        <w:t>, работа все равно выполнена.</w:t>
      </w:r>
    </w:p>
    <w:p w:rsidR="00B7680F" w:rsidRPr="00B7680F" w:rsidRDefault="00B7680F" w:rsidP="00B7680F">
      <w:pPr>
        <w:rPr>
          <w:rFonts w:ascii="Arial" w:eastAsia="Times New Roman" w:hAnsi="Arial" w:cs="Arial"/>
          <w:color w:val="2D2E2E"/>
          <w:highlight w:val="cyan"/>
        </w:rPr>
      </w:pPr>
      <w:r w:rsidRPr="00B7680F">
        <w:rPr>
          <w:rFonts w:ascii="Arial" w:eastAsia="Times New Roman" w:hAnsi="Arial" w:cs="Arial"/>
          <w:color w:val="2D2E2E"/>
          <w:highlight w:val="cyan"/>
        </w:rPr>
        <w:t>в течение какого времени</w:t>
      </w:r>
    </w:p>
    <w:p w:rsidR="00B7680F" w:rsidRPr="00B7680F" w:rsidRDefault="00B7680F" w:rsidP="00B7680F">
      <w:pPr>
        <w:rPr>
          <w:rFonts w:ascii="Arial" w:eastAsia="Times New Roman" w:hAnsi="Arial" w:cs="Arial"/>
          <w:color w:val="2D2E2E"/>
          <w:highlight w:val="cyan"/>
        </w:rPr>
      </w:pPr>
      <w:r w:rsidRPr="00B7680F">
        <w:rPr>
          <w:rFonts w:ascii="Arial" w:eastAsia="Times New Roman" w:hAnsi="Arial" w:cs="Arial"/>
          <w:color w:val="2D2E2E"/>
          <w:highlight w:val="cyan"/>
        </w:rPr>
        <w:t xml:space="preserve">скорость холостого хода может быть неустойчивой.  Когда адаптация будет завершена, индикатор «TPS» в нижней части экрана </w:t>
      </w:r>
      <w:proofErr w:type="spellStart"/>
      <w:r w:rsidRPr="00B7680F">
        <w:rPr>
          <w:rFonts w:ascii="Arial" w:eastAsia="Times New Roman" w:hAnsi="Arial" w:cs="Arial"/>
          <w:color w:val="2D2E2E"/>
          <w:highlight w:val="cyan"/>
        </w:rPr>
        <w:t>TuneECU</w:t>
      </w:r>
      <w:proofErr w:type="spellEnd"/>
      <w:r w:rsidRPr="00B7680F">
        <w:rPr>
          <w:rFonts w:ascii="Arial" w:eastAsia="Times New Roman" w:hAnsi="Arial" w:cs="Arial"/>
          <w:color w:val="2D2E2E"/>
          <w:highlight w:val="cyan"/>
        </w:rPr>
        <w:t xml:space="preserve"> будет</w:t>
      </w:r>
    </w:p>
    <w:p w:rsidR="00B7680F" w:rsidRPr="00B7680F" w:rsidRDefault="00B7680F" w:rsidP="00B7680F">
      <w:r w:rsidRPr="00B7680F">
        <w:rPr>
          <w:rFonts w:eastAsia="Times New Roman"/>
          <w:highlight w:val="cyan"/>
        </w:rPr>
        <w:t>зеленеть.  В заводском руководстве говорится: «Для полной адаптации отдельного мотоцикла может потребоваться несколько принудительных адаптаций</w:t>
      </w:r>
    </w:p>
    <w:p w:rsidR="00B7680F" w:rsidRDefault="00B7680F"/>
    <w:sectPr w:rsidR="00B76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80F"/>
    <w:rsid w:val="00B7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CB4C0EAA-313F-A74D-9C14-CA70B305B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884</Words>
  <Characters>5039</Characters>
  <Application>Microsoft Office Word</Application>
  <DocSecurity>0</DocSecurity>
  <Lines>41</Lines>
  <Paragraphs>11</Paragraphs>
  <ScaleCrop>false</ScaleCrop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2022-03-25T11:32:00Z</dcterms:created>
  <dcterms:modified xsi:type="dcterms:W3CDTF">2022-03-25T11:33:00Z</dcterms:modified>
</cp:coreProperties>
</file>